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B2" w:rsidRDefault="00C83FCC">
      <w:pPr>
        <w:pStyle w:val="Ttulo2"/>
        <w:shd w:val="clear" w:color="auto" w:fill="FFFFFF"/>
        <w:spacing w:before="120" w:after="120" w:line="360" w:lineRule="auto"/>
        <w:jc w:val="center"/>
        <w:textAlignment w:val="baseline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i w:val="0"/>
          <w:iCs/>
          <w:color w:val="000000" w:themeColor="text1"/>
          <w:sz w:val="22"/>
          <w:szCs w:val="22"/>
        </w:rPr>
        <w:t>EXTRATO DAS NORMAS GERAIS DE PÓS-GRADUAÇÃO DA UNIVERSIDADE FEDERAL DE MINAS GERAIS E DO REGULAMENTO DO PROGRAMA DE PÓS-GRADUAÇÃO EM PRODUÇÃO VEGETAL</w:t>
      </w:r>
    </w:p>
    <w:p w:rsidR="00936FB2" w:rsidRDefault="00936FB2">
      <w:pPr>
        <w:jc w:val="both"/>
      </w:pPr>
    </w:p>
    <w:p w:rsidR="00936FB2" w:rsidRDefault="00C83FCC">
      <w:pPr>
        <w:spacing w:after="12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A atividade de ensino de pós-graduação é regulamentada pelo Regimento Geral e pelas Normas Gerais de </w:t>
      </w:r>
      <w:r>
        <w:rPr>
          <w:color w:val="000000" w:themeColor="text1"/>
          <w:sz w:val="22"/>
          <w:szCs w:val="22"/>
          <w:shd w:val="clear" w:color="auto" w:fill="FFFFFF"/>
        </w:rPr>
        <w:t>Pós-graduação (NGPG), estabelecidas para toda a UFMG. Além destas, cada programa e, ou curso possui o seu Regulamento, o qual detalha o funcionamento do programa e, ou curso.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  <w:shd w:val="clear" w:color="auto" w:fill="FFFFFF"/>
        </w:rPr>
        <w:t>Os itens a seguir apresentam um extrato dos pontos de interesse das NGPG e do reg</w:t>
      </w:r>
      <w:r>
        <w:rPr>
          <w:color w:val="000000" w:themeColor="text1"/>
          <w:sz w:val="22"/>
          <w:szCs w:val="22"/>
          <w:shd w:val="clear" w:color="auto" w:fill="FFFFFF"/>
        </w:rPr>
        <w:t>ulamento do Programa de Pós-graduação em Produção Vegetal (PPGPV).</w:t>
      </w:r>
    </w:p>
    <w:p w:rsidR="00936FB2" w:rsidRDefault="00C83FCC">
      <w:pPr>
        <w:spacing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Para informações mais detalhadas consultar na página do Programa:</w:t>
      </w:r>
    </w:p>
    <w:p w:rsidR="00936FB2" w:rsidRDefault="00C83FCC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Normas Gerais da Pós-graduação da UFMG;</w:t>
      </w:r>
    </w:p>
    <w:p w:rsidR="00936FB2" w:rsidRDefault="00C83FCC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Regulamento do Programa de Pós-graduação em Produção Vegetal;</w:t>
      </w:r>
    </w:p>
    <w:p w:rsidR="00936FB2" w:rsidRDefault="00C83FC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Critérios para elabor</w:t>
      </w:r>
      <w:r>
        <w:rPr>
          <w:rFonts w:ascii="Times New Roman" w:hAnsi="Times New Roman" w:cs="Times New Roman"/>
          <w:sz w:val="22"/>
          <w:szCs w:val="22"/>
        </w:rPr>
        <w:t xml:space="preserve">ação de plano de estudo e integralização curricular dos cursos de mestrado e doutorado em Produção Vegetal do Instituto de Ciências Agrárias da Universidade Federal de Minas Gerais; </w:t>
      </w:r>
    </w:p>
    <w:p w:rsidR="00936FB2" w:rsidRDefault="00C83FC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Critérios para distribuição, renovação e manutenção de bolsas de agências</w:t>
      </w:r>
      <w:r>
        <w:rPr>
          <w:sz w:val="22"/>
          <w:szCs w:val="22"/>
        </w:rPr>
        <w:t xml:space="preserve"> de fomento destinadas a discentes do Programa de Pós-graduação em Produção Vegetal</w:t>
      </w:r>
    </w:p>
    <w:p w:rsidR="00936FB2" w:rsidRDefault="00936FB2">
      <w:pPr>
        <w:spacing w:line="360" w:lineRule="auto"/>
        <w:ind w:left="360"/>
        <w:jc w:val="both"/>
        <w:rPr>
          <w:sz w:val="22"/>
          <w:szCs w:val="22"/>
        </w:rPr>
      </w:pPr>
    </w:p>
    <w:p w:rsidR="00936FB2" w:rsidRDefault="00C83FCC">
      <w:pPr>
        <w:pStyle w:val="Ttulo2"/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iCs/>
          <w:smallCaps/>
          <w:color w:val="000000" w:themeColor="text1"/>
          <w:szCs w:val="22"/>
        </w:rPr>
      </w:pPr>
      <w:bookmarkStart w:id="1" w:name="formasadm"/>
      <w:bookmarkEnd w:id="1"/>
      <w:r>
        <w:rPr>
          <w:rFonts w:ascii="Times New Roman" w:hAnsi="Times New Roman"/>
          <w:i w:val="0"/>
          <w:iCs/>
          <w:smallCaps/>
          <w:color w:val="000000" w:themeColor="text1"/>
          <w:szCs w:val="22"/>
        </w:rPr>
        <w:t>Formas de admissão</w:t>
      </w:r>
    </w:p>
    <w:p w:rsidR="00936FB2" w:rsidRDefault="00C83FCC">
      <w:pPr>
        <w:pStyle w:val="Ttulo3"/>
        <w:shd w:val="clear" w:color="auto" w:fill="FFFFFF"/>
        <w:spacing w:before="120" w:after="120" w:line="360" w:lineRule="auto"/>
        <w:jc w:val="both"/>
        <w:textAlignment w:val="baseline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a) Seleção</w:t>
      </w:r>
    </w:p>
    <w:p w:rsidR="00936FB2" w:rsidRDefault="00C83FCC">
      <w:pPr>
        <w:spacing w:before="120" w:after="12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A seleção é a principal forma de acesso aos cursos de Mestrado e Doutorado. É feita através de um conjunto de avaliações, podendo incluir pro</w:t>
      </w:r>
      <w:r>
        <w:rPr>
          <w:color w:val="000000" w:themeColor="text1"/>
          <w:sz w:val="22"/>
          <w:szCs w:val="22"/>
          <w:shd w:val="clear" w:color="auto" w:fill="FFFFFF"/>
        </w:rPr>
        <w:t>va escrita, análise de currículo profissional, histórico escolar e teste de inglês. O processo seletivo é anual e realizado de acordo com as condições estabelecidas em edital específico, divulgado na página do PPGPV e em outros meios.</w:t>
      </w:r>
    </w:p>
    <w:p w:rsidR="00936FB2" w:rsidRDefault="00936FB2">
      <w:pPr>
        <w:spacing w:before="120" w:after="120" w:line="360" w:lineRule="auto"/>
        <w:jc w:val="both"/>
        <w:rPr>
          <w:color w:val="000000" w:themeColor="text1"/>
          <w:sz w:val="22"/>
          <w:szCs w:val="22"/>
        </w:rPr>
      </w:pPr>
    </w:p>
    <w:p w:rsidR="00936FB2" w:rsidRDefault="00C83FCC">
      <w:pPr>
        <w:pStyle w:val="Ttulo3"/>
        <w:shd w:val="clear" w:color="auto" w:fill="FFFFFF"/>
        <w:spacing w:before="120" w:after="120" w:line="360" w:lineRule="auto"/>
        <w:jc w:val="both"/>
        <w:textAlignment w:val="baseline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b) Transferência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Além da admissão via seleção, poderão ser aceitos pedidos de transferência de estudantes de outros cursos de pós-graduação. O estudante transferido deve obter no mínimo 50% dos créditos exigidos pelo Regulamento do Curso, nas disciplinas do PPGPV, independ</w:t>
      </w:r>
      <w:r>
        <w:rPr>
          <w:color w:val="000000" w:themeColor="text1"/>
          <w:sz w:val="22"/>
          <w:szCs w:val="22"/>
        </w:rPr>
        <w:t>entemente do número de créditos obtidos na instituição de origem.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candidato à transferência para curso de pós-graduação deve se apresentar à Secretaria do PPGPV munido dos seguintes documentos:</w:t>
      </w:r>
    </w:p>
    <w:p w:rsidR="00936FB2" w:rsidRDefault="00C83FCC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Requerimento em formulário próprio</w:t>
      </w:r>
    </w:p>
    <w:p w:rsidR="00936FB2" w:rsidRDefault="00C83FCC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 fotos 3x4 cm</w:t>
      </w:r>
    </w:p>
    <w:p w:rsidR="00936FB2" w:rsidRDefault="00C83FCC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Cópia do d</w:t>
      </w:r>
      <w:r>
        <w:rPr>
          <w:color w:val="000000" w:themeColor="text1"/>
          <w:sz w:val="22"/>
          <w:szCs w:val="22"/>
        </w:rPr>
        <w:t>iploma de graduação ou documento equivalente</w:t>
      </w:r>
    </w:p>
    <w:p w:rsidR="00936FB2" w:rsidRDefault="00C83FCC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Histórico escolar da pós-graduação no qual constem disciplinas cursadas, cargas horárias, avaliação em notas ou conceitos e créditos obtidos</w:t>
      </w:r>
    </w:p>
    <w:p w:rsidR="00936FB2" w:rsidRDefault="00C83FCC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Programas das disciplinas que compõem o histórico escolar da Pós-Gradu</w:t>
      </w:r>
      <w:r>
        <w:rPr>
          <w:color w:val="000000" w:themeColor="text1"/>
          <w:sz w:val="22"/>
          <w:szCs w:val="22"/>
        </w:rPr>
        <w:t>ação, emitido pela instituição de origem</w:t>
      </w:r>
    </w:p>
    <w:p w:rsidR="00936FB2" w:rsidRDefault="00C83FCC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Curriculum vitae</w:t>
      </w:r>
    </w:p>
    <w:p w:rsidR="00936FB2" w:rsidRDefault="00C83FCC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Prova de estar em dia com as obrigações militares e/ou eleitorais, no caso de candidato brasileiro; no caso de candidato estrangeiro, os exigidos pela legislação específica</w:t>
      </w:r>
    </w:p>
    <w:p w:rsidR="00936FB2" w:rsidRDefault="00C83FCC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Outros documentos exigido</w:t>
      </w:r>
      <w:r>
        <w:rPr>
          <w:color w:val="000000" w:themeColor="text1"/>
          <w:sz w:val="22"/>
          <w:szCs w:val="22"/>
        </w:rPr>
        <w:t>s pelo Regulamento do PPPV.</w:t>
      </w:r>
    </w:p>
    <w:p w:rsidR="00936FB2" w:rsidRDefault="00936FB2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bookmarkStart w:id="2" w:name="matricula"/>
      <w:bookmarkEnd w:id="2"/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smallCaps/>
          <w:color w:val="000000" w:themeColor="text1"/>
          <w:szCs w:val="22"/>
        </w:rPr>
      </w:pPr>
      <w:r>
        <w:rPr>
          <w:rFonts w:ascii="Times New Roman" w:hAnsi="Times New Roman"/>
          <w:i w:val="0"/>
          <w:iCs/>
          <w:smallCaps/>
          <w:color w:val="000000" w:themeColor="text1"/>
          <w:szCs w:val="22"/>
        </w:rPr>
        <w:t>Matrícula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primeira matrícula é feita na Secretaria do Programa. Qualquer que seja a forma de admissão, o aluno admitido deverá efetuar o seu registro acadêmico e requerer matrícula nas disciplinas de seu Plano de Estudo, dent</w:t>
      </w:r>
      <w:r>
        <w:rPr>
          <w:color w:val="000000" w:themeColor="text1"/>
          <w:sz w:val="22"/>
          <w:szCs w:val="22"/>
        </w:rPr>
        <w:t>ro do prazo estabelecido no calendário escolar da UFMG e com a concordância do seu orientador.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Registro acadêmico é o cadastramento do aluno novato com o objetivo de estabelecer sua vinculação à Universidade e ao seu curso. O aluno recebe um número que o i</w:t>
      </w:r>
      <w:r>
        <w:rPr>
          <w:color w:val="000000" w:themeColor="text1"/>
          <w:sz w:val="22"/>
          <w:szCs w:val="22"/>
        </w:rPr>
        <w:t>dentificará durante toda a sua vida acadêmica.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É vedado o registro acadêmico simultâneo em mais de um curso de graduação, de pós-graduação ou em ambos os níveis na UFMG.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calendário e instruções para a matrícula são divulgados na página da UFMG.</w:t>
      </w:r>
    </w:p>
    <w:p w:rsidR="00936FB2" w:rsidRDefault="00936FB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3" w:name="matriculaelet"/>
      <w:bookmarkEnd w:id="3"/>
      <w:r>
        <w:rPr>
          <w:rFonts w:ascii="Times New Roman" w:hAnsi="Times New Roman"/>
          <w:i w:val="0"/>
          <w:iCs/>
          <w:color w:val="000000" w:themeColor="text1"/>
          <w:sz w:val="22"/>
          <w:szCs w:val="22"/>
        </w:rPr>
        <w:t>Matrícula em Disciplina Eletiva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estudante poderá matricular-se em disciplina de pós-graduação não integrante do currículo de seu curso, considerada disciplina eletiva, com a autorização de seu orientador e aprovação dos colegiados/comissões coordenadoras</w:t>
      </w:r>
      <w:r>
        <w:rPr>
          <w:color w:val="000000" w:themeColor="text1"/>
          <w:sz w:val="22"/>
          <w:szCs w:val="22"/>
        </w:rPr>
        <w:t xml:space="preserve"> do curso do aluno e do curso ao qual a disciplina se vincula. Os créditos nelas obtidos serão registrados no Histórico Escolar.</w:t>
      </w:r>
    </w:p>
    <w:p w:rsidR="00936FB2" w:rsidRDefault="00936FB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4" w:name="matriculafase"/>
      <w:bookmarkEnd w:id="4"/>
      <w:r>
        <w:rPr>
          <w:rFonts w:ascii="Times New Roman" w:hAnsi="Times New Roman"/>
          <w:i w:val="0"/>
          <w:iCs/>
          <w:color w:val="000000" w:themeColor="text1"/>
          <w:sz w:val="22"/>
          <w:szCs w:val="22"/>
        </w:rPr>
        <w:t>Matrícula em Fase de Trabalho Final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Durante a fase de elaboração de dissertação/tese, até sua defesa, o estudante, independent</w:t>
      </w:r>
      <w:r>
        <w:rPr>
          <w:color w:val="000000" w:themeColor="text1"/>
          <w:sz w:val="22"/>
          <w:szCs w:val="22"/>
        </w:rPr>
        <w:t>emente de estar ou não matriculado em disciplinas curriculares, deverá inscrever-se na disciplina "Elaboração de Trabalho Final", sem direito a crédito.</w:t>
      </w:r>
    </w:p>
    <w:p w:rsidR="00936FB2" w:rsidRDefault="00936FB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 w:val="0"/>
          <w:iCs/>
          <w:sz w:val="22"/>
          <w:szCs w:val="22"/>
        </w:rPr>
      </w:pPr>
      <w:bookmarkStart w:id="5" w:name="trancamat"/>
      <w:bookmarkEnd w:id="5"/>
      <w:r>
        <w:rPr>
          <w:rFonts w:ascii="Times New Roman" w:hAnsi="Times New Roman"/>
          <w:i w:val="0"/>
          <w:iCs/>
          <w:sz w:val="22"/>
          <w:szCs w:val="22"/>
        </w:rPr>
        <w:t>Proficiência em Língua Estrangeira</w:t>
      </w:r>
    </w:p>
    <w:p w:rsidR="00936FB2" w:rsidRDefault="00C83FCC">
      <w:pPr>
        <w:spacing w:before="120" w:after="120"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Os acadêmicos regularmente matriculados no programa deverão em um </w:t>
      </w:r>
      <w:r>
        <w:rPr>
          <w:iCs/>
          <w:sz w:val="22"/>
          <w:szCs w:val="22"/>
        </w:rPr>
        <w:t>prazo máximo de 12 (doze) meses, para alunos do mestrado, e 24 (vinte e quatro) meses para alunos do doutorado apresentar comprovação de proficiência em língua estrangeira. A comprovação em proficiência em língua estrangeira poderá ser obtida das seguintes</w:t>
      </w:r>
      <w:r>
        <w:rPr>
          <w:iCs/>
          <w:sz w:val="22"/>
          <w:szCs w:val="22"/>
        </w:rPr>
        <w:t xml:space="preserve"> formas:</w:t>
      </w:r>
    </w:p>
    <w:p w:rsidR="00936FB2" w:rsidRDefault="00C83FCC">
      <w:pPr>
        <w:numPr>
          <w:ilvl w:val="0"/>
          <w:numId w:val="3"/>
        </w:numPr>
        <w:spacing w:before="120" w:after="120"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Ter cursado a disciplina de Inglês Acadêmico oferecida pelo PPG Produção Vegetal e obtido conceito igual ou superior a D;</w:t>
      </w:r>
    </w:p>
    <w:p w:rsidR="00936FB2" w:rsidRDefault="00C83FCC">
      <w:pPr>
        <w:numPr>
          <w:ilvl w:val="0"/>
          <w:numId w:val="3"/>
        </w:numPr>
        <w:spacing w:before="120" w:after="120"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Aprovado em prova de língua estrangeira organizada pelo programa juntamente com o profissional habilitado após o ingresso no </w:t>
      </w:r>
      <w:r>
        <w:rPr>
          <w:iCs/>
          <w:sz w:val="22"/>
          <w:szCs w:val="22"/>
        </w:rPr>
        <w:t>curso, devendo obter nota mínima de 60 (sessenta) pontos no total de 100 (cem) pontos;</w:t>
      </w:r>
    </w:p>
    <w:p w:rsidR="00936FB2" w:rsidRDefault="00C83FCC">
      <w:pPr>
        <w:numPr>
          <w:ilvl w:val="0"/>
          <w:numId w:val="3"/>
        </w:numPr>
        <w:spacing w:before="120" w:after="120"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Solicitar aproveitamento de créditos junto ao Colegiado de disciplina similar (Inglês Instrumental) cursada nos últimos três (3) anos, durante o curso de graduação ou de</w:t>
      </w:r>
      <w:r>
        <w:rPr>
          <w:iCs/>
          <w:sz w:val="22"/>
          <w:szCs w:val="22"/>
        </w:rPr>
        <w:t xml:space="preserve"> pós-graduação </w:t>
      </w:r>
      <w:r>
        <w:rPr>
          <w:i/>
          <w:sz w:val="22"/>
          <w:szCs w:val="22"/>
        </w:rPr>
        <w:t>Stricto sensu</w:t>
      </w:r>
      <w:r>
        <w:rPr>
          <w:iCs/>
          <w:sz w:val="22"/>
          <w:szCs w:val="22"/>
        </w:rPr>
        <w:t xml:space="preserve">, apresentando por meio de formulário específico </w:t>
      </w:r>
      <w:proofErr w:type="gramStart"/>
      <w:r>
        <w:rPr>
          <w:iCs/>
          <w:sz w:val="22"/>
          <w:szCs w:val="22"/>
        </w:rPr>
        <w:t>os seguinte</w:t>
      </w:r>
      <w:proofErr w:type="gramEnd"/>
      <w:r>
        <w:rPr>
          <w:iCs/>
          <w:sz w:val="22"/>
          <w:szCs w:val="22"/>
        </w:rPr>
        <w:t xml:space="preserve"> documentos: a ementa, resultado final obtido (rendimento mínimo de 60%) e carga horária cursada;</w:t>
      </w:r>
    </w:p>
    <w:p w:rsidR="00936FB2" w:rsidRDefault="00C83FCC">
      <w:pPr>
        <w:spacing w:before="120" w:after="120" w:line="360" w:lineRule="auto"/>
        <w:jc w:val="both"/>
        <w:rPr>
          <w:iCs/>
          <w:sz w:val="22"/>
          <w:szCs w:val="22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d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) 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Aprovação em teste de conhecimento de língua inglesa instrumental e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mitido pelo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CENEX da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 f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aculdade de Letras da UFMG, nos últimos três anos, nos termos da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Resolução no. 08/2008 do Conselho de Ensino, Pesquisa e Extensão da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UFMG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(mínimo 60</w:t>
      </w:r>
      <w:proofErr w:type="gramStart"/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%);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e</w:t>
      </w:r>
      <w:proofErr w:type="gramEnd"/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) 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Aprovação em teste de conhecimento de língua inglesa, obtido e validado em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inst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ituições qualificadas (TOEFL, TOEIC, IELTS, CAMBRIDGE e MICHIGAN), com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rendimento mínimo de 60% relativo a pontuação total de cada teste</w:t>
      </w:r>
      <w:r>
        <w:rPr>
          <w:rStyle w:val="fontstyle21"/>
          <w:rFonts w:cs="Times New Roman"/>
          <w:color w:val="auto"/>
          <w:sz w:val="22"/>
          <w:szCs w:val="22"/>
        </w:rPr>
        <w:t>.</w:t>
      </w:r>
      <w:r>
        <w:rPr>
          <w:rStyle w:val="fontstyle21"/>
          <w:rFonts w:ascii="Times New Roman" w:hAnsi="Times New Roman" w:cs="Times New Roman"/>
          <w:color w:val="auto"/>
          <w:sz w:val="22"/>
          <w:szCs w:val="22"/>
        </w:rPr>
        <w:br/>
      </w:r>
    </w:p>
    <w:p w:rsidR="00936FB2" w:rsidRDefault="00936FB2">
      <w:pPr>
        <w:rPr>
          <w:iCs/>
          <w:color w:val="0000FF"/>
          <w:sz w:val="22"/>
          <w:szCs w:val="22"/>
        </w:rPr>
      </w:pPr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 w:val="0"/>
          <w:iCs/>
          <w:color w:val="000000" w:themeColor="text1"/>
          <w:sz w:val="22"/>
          <w:szCs w:val="22"/>
        </w:rPr>
        <w:t>Trancamento de Matrícula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aluno de pós-graduação pode requerer trancamento total ou parcial de matrícula.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a) </w:t>
      </w:r>
      <w:r>
        <w:rPr>
          <w:i/>
          <w:color w:val="000000" w:themeColor="text1"/>
          <w:sz w:val="22"/>
          <w:szCs w:val="22"/>
        </w:rPr>
        <w:t>Trancamento parcial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 a anuência de seu orientador, o aluno poderá solicitar ao Colegiado, por meio de formulário próprio, o trancamento parcial da matrícula (em uma ou mais disciplinas) dentro do primeiro terço do período letivo. O trancamento da matríc</w:t>
      </w:r>
      <w:r>
        <w:rPr>
          <w:color w:val="000000" w:themeColor="text1"/>
          <w:sz w:val="22"/>
          <w:szCs w:val="22"/>
        </w:rPr>
        <w:t>ula será concedido apenas duas vezes na mesma disciplina durante o curso.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b) Trancamento total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Pode ser concedido até o último dia do semestre letivo, por tempo determinado, a critério do colegiado do curso. Se estiver diante de motivos relevantes, o Coleg</w:t>
      </w:r>
      <w:r>
        <w:rPr>
          <w:color w:val="000000" w:themeColor="text1"/>
          <w:sz w:val="22"/>
          <w:szCs w:val="22"/>
        </w:rPr>
        <w:t>iado poderá ainda conceder trancamento total de matrícula por mais de 2 (dois) períodos letivos, não sendo o período de trancamento computado para efeito de integralização do tempo máximo do curso.</w:t>
      </w:r>
    </w:p>
    <w:p w:rsidR="00936FB2" w:rsidRDefault="00936FB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smallCaps/>
          <w:color w:val="000000" w:themeColor="text1"/>
          <w:szCs w:val="22"/>
        </w:rPr>
      </w:pPr>
      <w:bookmarkStart w:id="6" w:name="orient"/>
      <w:bookmarkEnd w:id="6"/>
      <w:r>
        <w:rPr>
          <w:rFonts w:ascii="Times New Roman" w:hAnsi="Times New Roman"/>
          <w:i w:val="0"/>
          <w:iCs/>
          <w:smallCaps/>
          <w:color w:val="000000" w:themeColor="text1"/>
          <w:szCs w:val="22"/>
        </w:rPr>
        <w:t>Orientação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Todo estudante matriculado nos cursos de </w:t>
      </w:r>
      <w:r>
        <w:rPr>
          <w:color w:val="000000" w:themeColor="text1"/>
          <w:sz w:val="22"/>
          <w:szCs w:val="22"/>
        </w:rPr>
        <w:t xml:space="preserve">Mestrado ou Doutorado terá, a partir de sua admissão, a supervisão de um professor permanente do PPGPV e de um </w:t>
      </w:r>
      <w:proofErr w:type="spellStart"/>
      <w:r>
        <w:rPr>
          <w:color w:val="000000" w:themeColor="text1"/>
          <w:sz w:val="22"/>
          <w:szCs w:val="22"/>
        </w:rPr>
        <w:t>coorientador</w:t>
      </w:r>
      <w:proofErr w:type="spellEnd"/>
      <w:r>
        <w:rPr>
          <w:color w:val="000000" w:themeColor="text1"/>
          <w:sz w:val="22"/>
          <w:szCs w:val="22"/>
        </w:rPr>
        <w:t xml:space="preserve"> (opcional) e do Colegiado do PPGPV.</w:t>
      </w:r>
    </w:p>
    <w:p w:rsidR="00936FB2" w:rsidRDefault="00936FB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smallCaps/>
          <w:color w:val="000000" w:themeColor="text1"/>
          <w:szCs w:val="22"/>
        </w:rPr>
      </w:pPr>
      <w:r>
        <w:rPr>
          <w:rFonts w:ascii="Times New Roman" w:hAnsi="Times New Roman"/>
          <w:i w:val="0"/>
          <w:iCs/>
          <w:smallCaps/>
          <w:color w:val="000000" w:themeColor="text1"/>
          <w:szCs w:val="22"/>
        </w:rPr>
        <w:t>Regime Didático e Rendimento Escolar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verificação de rendimento é feita por disciplina, abrang</w:t>
      </w:r>
      <w:r>
        <w:rPr>
          <w:color w:val="000000" w:themeColor="text1"/>
          <w:sz w:val="22"/>
          <w:szCs w:val="22"/>
        </w:rPr>
        <w:t xml:space="preserve">endo critérios de assiduidade e aproveitamento, ambos eliminatórios. Entende-se por assiduidade o comparecimento às atividades correspondentes a cada disciplina. Quem faltar a mais de 25% (vinte e cinco por cento) das aulas </w:t>
      </w:r>
      <w:proofErr w:type="spellStart"/>
      <w:r>
        <w:rPr>
          <w:color w:val="000000" w:themeColor="text1"/>
          <w:sz w:val="22"/>
          <w:szCs w:val="22"/>
        </w:rPr>
        <w:t>será</w:t>
      </w:r>
      <w:proofErr w:type="spellEnd"/>
      <w:r>
        <w:rPr>
          <w:color w:val="000000" w:themeColor="text1"/>
          <w:sz w:val="22"/>
          <w:szCs w:val="22"/>
        </w:rPr>
        <w:t xml:space="preserve"> automaticamente reprovado, </w:t>
      </w:r>
      <w:r>
        <w:rPr>
          <w:color w:val="000000" w:themeColor="text1"/>
          <w:sz w:val="22"/>
          <w:szCs w:val="22"/>
        </w:rPr>
        <w:t>sendo proibido o abono de faltas. Já o aproveitamento é o resultado da avaliação do aluno nas atividades desenvolvidas nas disciplinas. Sua apuração em cada disciplina é feita por pontos cumulativas, em escala de 0 (zero) a 100 (cem). Apurados os resultado</w:t>
      </w:r>
      <w:r>
        <w:rPr>
          <w:color w:val="000000" w:themeColor="text1"/>
          <w:sz w:val="22"/>
          <w:szCs w:val="22"/>
        </w:rPr>
        <w:t>s finais de cada disciplina, o rendimento escolar de cada aluno é convertido nos seguintes conceitos:</w:t>
      </w:r>
    </w:p>
    <w:p w:rsidR="00936FB2" w:rsidRDefault="00936F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tbl>
      <w:tblPr>
        <w:tblW w:w="56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81"/>
        <w:gridCol w:w="2195"/>
      </w:tblGrid>
      <w:tr w:rsidR="00936F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 90 a 100</w:t>
            </w:r>
          </w:p>
        </w:tc>
      </w:tr>
      <w:tr w:rsidR="00936F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Ótimo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 80 a 89</w:t>
            </w:r>
          </w:p>
        </w:tc>
      </w:tr>
      <w:tr w:rsidR="00936F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 70 a 79</w:t>
            </w:r>
          </w:p>
        </w:tc>
      </w:tr>
      <w:tr w:rsidR="00936F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 60 a 69</w:t>
            </w:r>
          </w:p>
        </w:tc>
      </w:tr>
      <w:tr w:rsidR="00936F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Fraco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 40 a 59</w:t>
            </w:r>
          </w:p>
        </w:tc>
      </w:tr>
      <w:tr w:rsidR="00936F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Rendimento nulo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6FB2" w:rsidRDefault="00C83F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 0 a 39</w:t>
            </w:r>
          </w:p>
        </w:tc>
      </w:tr>
    </w:tbl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Será aprovado o </w:t>
      </w:r>
      <w:r>
        <w:rPr>
          <w:color w:val="000000" w:themeColor="text1"/>
          <w:sz w:val="22"/>
          <w:szCs w:val="22"/>
        </w:rPr>
        <w:t xml:space="preserve">estudante que obtiver os conceitos </w:t>
      </w:r>
      <w:proofErr w:type="gramStart"/>
      <w:r>
        <w:rPr>
          <w:color w:val="000000" w:themeColor="text1"/>
          <w:sz w:val="22"/>
          <w:szCs w:val="22"/>
        </w:rPr>
        <w:t>A, B</w:t>
      </w:r>
      <w:proofErr w:type="gramEnd"/>
      <w:r>
        <w:rPr>
          <w:color w:val="000000" w:themeColor="text1"/>
          <w:sz w:val="22"/>
          <w:szCs w:val="22"/>
        </w:rPr>
        <w:t>, C ou D e reprovado aquele que obtiver E ou F.</w:t>
      </w:r>
    </w:p>
    <w:p w:rsidR="00936FB2" w:rsidRDefault="00936FB2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bookmarkStart w:id="7" w:name="nummincred"/>
      <w:bookmarkEnd w:id="7"/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 w:val="0"/>
          <w:iCs/>
          <w:color w:val="000000" w:themeColor="text1"/>
          <w:sz w:val="22"/>
          <w:szCs w:val="22"/>
        </w:rPr>
        <w:t>Número mínimo de créditos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número mínimo de créditos a serem cursados no mestrado é de 18 (dezoito) e, no doutorado, de 36 (trinta e seis).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Preferencialmente, os </w:t>
      </w:r>
      <w:r>
        <w:rPr>
          <w:color w:val="000000" w:themeColor="text1"/>
          <w:sz w:val="22"/>
          <w:szCs w:val="22"/>
        </w:rPr>
        <w:t>créditos devem ser cursados nos primeiros semestres de curso.</w:t>
      </w:r>
    </w:p>
    <w:p w:rsidR="00936FB2" w:rsidRDefault="00936FB2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bookmarkStart w:id="8" w:name="desliga"/>
      <w:bookmarkEnd w:id="8"/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 w:val="0"/>
          <w:iCs/>
          <w:color w:val="000000" w:themeColor="text1"/>
          <w:sz w:val="22"/>
          <w:szCs w:val="22"/>
        </w:rPr>
        <w:t>Desligamento</w:t>
      </w:r>
    </w:p>
    <w:p w:rsidR="00936FB2" w:rsidRDefault="00C83FCC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Estará automaticamente desligado do Programa o aluno que se enquadrar em uma ou mais das seguintes situações:</w:t>
      </w:r>
    </w:p>
    <w:p w:rsidR="00936FB2" w:rsidRDefault="00C83FCC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Obtiver conceito inferior </w:t>
      </w: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D mais de uma vez na mesma ou em diferente</w:t>
      </w:r>
      <w:r>
        <w:rPr>
          <w:sz w:val="22"/>
          <w:szCs w:val="22"/>
        </w:rPr>
        <w:t>s disciplinas;</w:t>
      </w:r>
    </w:p>
    <w:p w:rsidR="00936FB2" w:rsidRDefault="00C83FCC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Deixar de renovar, a cada semestre, sua matrícula em atividades acadêmicas.</w:t>
      </w:r>
    </w:p>
    <w:p w:rsidR="00936FB2" w:rsidRDefault="00936FB2">
      <w:pPr>
        <w:spacing w:before="120" w:after="120" w:line="360" w:lineRule="auto"/>
        <w:jc w:val="both"/>
        <w:rPr>
          <w:color w:val="222222"/>
          <w:sz w:val="22"/>
          <w:szCs w:val="22"/>
          <w:shd w:val="clear" w:color="auto" w:fill="FFFFFF"/>
        </w:rPr>
      </w:pPr>
    </w:p>
    <w:p w:rsidR="00936FB2" w:rsidRDefault="00C83FCC">
      <w:pPr>
        <w:spacing w:before="120" w:after="120" w:line="360" w:lineRule="auto"/>
        <w:jc w:val="both"/>
        <w:rPr>
          <w:b/>
          <w:smallCaps/>
          <w:color w:val="222222"/>
          <w:szCs w:val="22"/>
          <w:shd w:val="clear" w:color="auto" w:fill="FFFFFF"/>
        </w:rPr>
      </w:pPr>
      <w:r>
        <w:rPr>
          <w:b/>
          <w:smallCaps/>
          <w:color w:val="222222"/>
          <w:szCs w:val="22"/>
          <w:shd w:val="clear" w:color="auto" w:fill="FFFFFF"/>
        </w:rPr>
        <w:t>Bolsa de estudos</w:t>
      </w:r>
    </w:p>
    <w:p w:rsidR="00936FB2" w:rsidRDefault="00C83FCC">
      <w:pPr>
        <w:spacing w:before="120" w:after="120" w:line="360" w:lineRule="auto"/>
        <w:jc w:val="both"/>
      </w:pPr>
      <w:r>
        <w:t>Para receber bolsa de estudos o aluno deve estar regularmente matriculado no Programa;</w:t>
      </w:r>
    </w:p>
    <w:p w:rsidR="00936FB2" w:rsidRDefault="00C83FCC">
      <w:pPr>
        <w:spacing w:before="120" w:after="120" w:line="360" w:lineRule="auto"/>
        <w:jc w:val="both"/>
      </w:pPr>
      <w:r>
        <w:t xml:space="preserve">As bolsas serão distribuídas de acordo com lista classificatória, elaborada com base na Avaliação de Desempenho (notas obtidas em Estatística Experimental e Fisiologia Vegetal), e Avaliação </w:t>
      </w:r>
      <w:proofErr w:type="spellStart"/>
      <w:r>
        <w:t>Sócio-Econômica</w:t>
      </w:r>
      <w:proofErr w:type="spellEnd"/>
      <w:r>
        <w:t xml:space="preserve"> do Discente. </w:t>
      </w:r>
    </w:p>
    <w:p w:rsidR="00936FB2" w:rsidRDefault="00C83FCC">
      <w:pPr>
        <w:spacing w:before="120" w:after="120" w:line="360" w:lineRule="auto"/>
        <w:jc w:val="both"/>
      </w:pPr>
      <w:r>
        <w:t>O prazo máximo de atribuição das bol</w:t>
      </w:r>
      <w:r>
        <w:t xml:space="preserve">sas é de 18 meses para o Mestrado, 36 meses para o Doutorado e de 42 meses para o Doutorado direto, a partir da data de matricula dos discentes nos cursos, dentro do tempo máximo de integralização do curso, que é de 24 meses para o Mestrado, 48 meses para </w:t>
      </w:r>
      <w:r>
        <w:t>o Doutorado e 54 meses para o Doutorado direto. Em casos</w:t>
      </w:r>
      <w:r>
        <w:rPr>
          <w:color w:val="333333"/>
        </w:rPr>
        <w:t xml:space="preserve"> </w:t>
      </w:r>
      <w:r>
        <w:t>excepcionais, e havendo disponibilidade de bolsa, o orientador poderá solicitar a prorrogação da bolsa de Mestrado ou de Doutorado por até seis meses. A solicitação de prorrogação deverá ser acompanh</w:t>
      </w:r>
      <w:r>
        <w:t>ada de justificativa circunstanciada, que será apreciada pelo Colegiado do Programa.</w:t>
      </w:r>
    </w:p>
    <w:p w:rsidR="00936FB2" w:rsidRDefault="00C83FCC">
      <w:pPr>
        <w:spacing w:before="120" w:after="120" w:line="360" w:lineRule="auto"/>
        <w:jc w:val="both"/>
      </w:pPr>
      <w:r>
        <w:t>O aluno bolsista não poderá obter mais do que um (um) conceito igual ou inferior “D” nas disciplinas do Programa;</w:t>
      </w:r>
    </w:p>
    <w:p w:rsidR="00936FB2" w:rsidRDefault="00C83FCC">
      <w:pPr>
        <w:spacing w:before="120" w:after="120" w:line="360" w:lineRule="auto"/>
        <w:jc w:val="both"/>
      </w:pPr>
      <w:r>
        <w:t>Não exercer qualquer forma de trabalho remunerado, de qua</w:t>
      </w:r>
      <w:r>
        <w:t xml:space="preserve">lquer natureza, formal ou informal, que não esteja de acordo com </w:t>
      </w:r>
      <w:proofErr w:type="gramStart"/>
      <w:r>
        <w:t>as permitida</w:t>
      </w:r>
      <w:proofErr w:type="gramEnd"/>
      <w:r>
        <w:t xml:space="preserve"> pelas normas das agências financiadoras e do PPGPV;</w:t>
      </w:r>
    </w:p>
    <w:p w:rsidR="00936FB2" w:rsidRDefault="00C83FCC">
      <w:pPr>
        <w:spacing w:before="120" w:after="120" w:line="360" w:lineRule="auto"/>
        <w:jc w:val="both"/>
      </w:pPr>
      <w:r>
        <w:t>Em caso de desligamento do Programa, a critério das agências de fomento, o aluno deverá devolver integralmente o valor recebid</w:t>
      </w:r>
      <w:r>
        <w:t xml:space="preserve">o. </w:t>
      </w:r>
    </w:p>
    <w:p w:rsidR="00936FB2" w:rsidRDefault="00936FB2">
      <w:pPr>
        <w:spacing w:before="120" w:after="120" w:line="360" w:lineRule="auto"/>
        <w:jc w:val="both"/>
        <w:rPr>
          <w:color w:val="222222"/>
          <w:sz w:val="22"/>
          <w:szCs w:val="22"/>
          <w:shd w:val="clear" w:color="auto" w:fill="FFFFFF"/>
        </w:rPr>
      </w:pPr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smallCaps/>
          <w:color w:val="000000" w:themeColor="text1"/>
          <w:szCs w:val="22"/>
        </w:rPr>
      </w:pPr>
      <w:bookmarkStart w:id="9" w:name="aprovcred"/>
      <w:bookmarkEnd w:id="9"/>
      <w:r>
        <w:rPr>
          <w:rFonts w:ascii="Times New Roman" w:hAnsi="Times New Roman"/>
          <w:i w:val="0"/>
          <w:iCs/>
          <w:smallCaps/>
          <w:color w:val="000000" w:themeColor="text1"/>
          <w:szCs w:val="22"/>
        </w:rPr>
        <w:t>Aproveitamento de créditos</w:t>
      </w:r>
    </w:p>
    <w:p w:rsidR="00936FB2" w:rsidRDefault="00C83FCC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Os discentes poderão aproveitar, mediante a anuência do orientador e do Colegiado do PPGPV, para efeitos de integralização curricular, os créditos obtidos em disciplinas isoladas cursadas no PPGPV ou em outros programas da U</w:t>
      </w:r>
      <w:r>
        <w:rPr>
          <w:color w:val="000000" w:themeColor="text1"/>
        </w:rPr>
        <w:t xml:space="preserve">FMG ou em outras instituições, até o máximo de 50% dos créditos </w:t>
      </w:r>
      <w:r>
        <w:rPr>
          <w:color w:val="000000" w:themeColor="text1"/>
          <w:shd w:val="clear" w:color="auto" w:fill="FFFFFF"/>
        </w:rPr>
        <w:t xml:space="preserve">mínimos exigidos para a integralização do curso. </w:t>
      </w:r>
      <w:r>
        <w:rPr>
          <w:color w:val="000000" w:themeColor="text1"/>
          <w:sz w:val="22"/>
          <w:szCs w:val="22"/>
        </w:rPr>
        <w:t>Entende-se por disciplinas isoladas aquelas cursadas antes do aluno ingressar no PPGPV.</w:t>
      </w:r>
    </w:p>
    <w:p w:rsidR="00936FB2" w:rsidRDefault="00C83FC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Os discentes poderão aproveitar, mediante a anuência do</w:t>
      </w:r>
      <w:r>
        <w:rPr>
          <w:rFonts w:ascii="Times New Roman" w:hAnsi="Times New Roman" w:cs="Times New Roman"/>
          <w:color w:val="000000" w:themeColor="text1"/>
        </w:rPr>
        <w:t xml:space="preserve"> orientador e do Colegiado do PPGPV, para efeitos de integralização curricular, os créditos obtidos em disciplinas em instituições estrangeiras, para fins de obtenção de titulação simultânea, até o máximo de 50% dos créditos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mínimos exigidos para a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integralização do curso.</w:t>
      </w:r>
    </w:p>
    <w:p w:rsidR="00936FB2" w:rsidRDefault="00C83FC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Em caso de transferência de cursos da UFMG ou de outras instituições, os discentes poderão </w:t>
      </w:r>
      <w:r>
        <w:rPr>
          <w:rFonts w:ascii="Times New Roman" w:hAnsi="Times New Roman" w:cs="Times New Roman"/>
          <w:color w:val="000000" w:themeColor="text1"/>
        </w:rPr>
        <w:t>aproveitar, mediante a anuência do orientador e do Colegiado do PPGPV, para efeitos de integralização curricular, os créditos obtidos no cur</w:t>
      </w:r>
      <w:r>
        <w:rPr>
          <w:rFonts w:ascii="Times New Roman" w:hAnsi="Times New Roman" w:cs="Times New Roman"/>
          <w:color w:val="000000" w:themeColor="text1"/>
        </w:rPr>
        <w:t xml:space="preserve">so de origem da transferência até o máximo de 50% dos créditos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mínimos exigidos para a integralização do curso do PPPV que está matriculado.</w:t>
      </w:r>
    </w:p>
    <w:p w:rsidR="00936FB2" w:rsidRDefault="00C83FCC">
      <w:pPr>
        <w:spacing w:after="12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Não serão aproveitados, </w:t>
      </w:r>
      <w:r>
        <w:rPr>
          <w:color w:val="000000" w:themeColor="text1"/>
        </w:rPr>
        <w:t xml:space="preserve">para efeitos de integralização curricular, os </w:t>
      </w:r>
      <w:r>
        <w:rPr>
          <w:color w:val="000000" w:themeColor="text1"/>
          <w:shd w:val="clear" w:color="auto" w:fill="FFFFFF"/>
        </w:rPr>
        <w:t xml:space="preserve">créditos de disciplinas equivalentes a </w:t>
      </w:r>
      <w:r>
        <w:rPr>
          <w:color w:val="000000" w:themeColor="text1"/>
          <w:shd w:val="clear" w:color="auto" w:fill="FFFFFF"/>
        </w:rPr>
        <w:t>Estágio Docência, Seminário I, Seminário II, Pesquisa I e Pesquisa II.</w:t>
      </w:r>
    </w:p>
    <w:p w:rsidR="00936FB2" w:rsidRDefault="00936FB2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bookmarkStart w:id="10" w:name="projdisstese"/>
      <w:bookmarkEnd w:id="10"/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smallCaps/>
          <w:color w:val="000000" w:themeColor="text1"/>
          <w:szCs w:val="22"/>
        </w:rPr>
      </w:pPr>
      <w:r>
        <w:rPr>
          <w:rFonts w:ascii="Times New Roman" w:hAnsi="Times New Roman"/>
          <w:i w:val="0"/>
          <w:iCs/>
          <w:smallCaps/>
          <w:color w:val="000000" w:themeColor="text1"/>
          <w:szCs w:val="22"/>
        </w:rPr>
        <w:t>Projeto de dissertação/tese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 alunos de Mestrado e Doutorado deverão submeter, em período definido pelo Colegiado do PPGPV, o projeto de dissertação ou tese. Este projeto, assinado pe</w:t>
      </w:r>
      <w:r>
        <w:rPr>
          <w:color w:val="000000" w:themeColor="text1"/>
          <w:sz w:val="22"/>
          <w:szCs w:val="22"/>
        </w:rPr>
        <w:t>lo aluno e seu orientador, deverá conter: título, ainda que provisório, justificativa e objetivos do trabalho; revisão da literatura; material e métodos previstos; fases do trabalho e cronograma de sua execução; relação da bibliografia consultada; estimati</w:t>
      </w:r>
      <w:r>
        <w:rPr>
          <w:color w:val="000000" w:themeColor="text1"/>
          <w:sz w:val="22"/>
          <w:szCs w:val="22"/>
        </w:rPr>
        <w:t>va de despesas, quando couber.</w:t>
      </w:r>
    </w:p>
    <w:p w:rsidR="00936FB2" w:rsidRDefault="00936FB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smallCaps/>
          <w:color w:val="000000" w:themeColor="text1"/>
          <w:szCs w:val="22"/>
        </w:rPr>
      </w:pPr>
      <w:bookmarkStart w:id="11" w:name="defesa"/>
      <w:bookmarkStart w:id="12" w:name="prodcient"/>
      <w:bookmarkEnd w:id="11"/>
      <w:bookmarkEnd w:id="12"/>
      <w:r>
        <w:rPr>
          <w:rFonts w:ascii="Times New Roman" w:hAnsi="Times New Roman"/>
          <w:i w:val="0"/>
          <w:iCs/>
          <w:smallCaps/>
          <w:color w:val="000000" w:themeColor="text1"/>
          <w:szCs w:val="22"/>
        </w:rPr>
        <w:t>Defesa da dissertação/tese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Só defenderá o trabalho final o aluno que tiver obtido o total de créditos requeridos pelo curso e atender às exigências previstas no Regulamento do PPGPV.</w:t>
      </w:r>
    </w:p>
    <w:p w:rsidR="00936FB2" w:rsidRDefault="00C83FCC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estudante, devidamente autorizado pelo </w:t>
      </w:r>
      <w:r>
        <w:rPr>
          <w:sz w:val="22"/>
          <w:szCs w:val="22"/>
        </w:rPr>
        <w:t>seu orientador, apresentará à Secretaria do Colegiado PPGPV, no momento da solicitação da defesa: um artigo científico sobre o tema da dissertação e dois artigos científicos sobre o tema da tese.</w:t>
      </w:r>
    </w:p>
    <w:p w:rsidR="00936FB2" w:rsidRDefault="00C83FCC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defesa de dissertação ou tese deverá realizar-se no períod</w:t>
      </w:r>
      <w:r>
        <w:rPr>
          <w:sz w:val="22"/>
          <w:szCs w:val="22"/>
        </w:rPr>
        <w:t>o mínimo de 30 (trinta) dias e no máximo de 45 (quarenta e cinco) dias, após ter sido requerida, ressalvada a hipótese de decisão diversa do colegiado, tomada por meio de requerimento de solicitação formal do orientador.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defesa da dissertação ou tese é p</w:t>
      </w:r>
      <w:r>
        <w:rPr>
          <w:color w:val="000000" w:themeColor="text1"/>
          <w:sz w:val="22"/>
          <w:szCs w:val="22"/>
        </w:rPr>
        <w:t>ública e feita diante de banca examinadora, indicada pelo Colegiado do PPG e orientador.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 aprovação do candidato depende do aval unânime da banca examinadora. 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 estudante de Doutorado deverá submeter-se, num prazo máximo de 24 (vinte e quatro) meses após</w:t>
      </w:r>
      <w:r>
        <w:rPr>
          <w:sz w:val="22"/>
          <w:szCs w:val="22"/>
        </w:rPr>
        <w:t xml:space="preserve"> a matrícula inicial, ao Exame de Qualificação, que avaliará a amplitude, a profundidade e a maturidade de seus conhecimentos na área de pesquisa de seu projeto de tese, bem como sua capacidade crítica.</w:t>
      </w:r>
    </w:p>
    <w:p w:rsidR="00936FB2" w:rsidRDefault="00C83FCC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 caso de insucesso no Exame de Qualificação, o estu</w:t>
      </w:r>
      <w:r>
        <w:rPr>
          <w:sz w:val="22"/>
          <w:szCs w:val="22"/>
        </w:rPr>
        <w:t>dante deverá submeter-se a novo exame, no prazo máximo de 6 (seis) meses após o primeiro exame.</w:t>
      </w:r>
    </w:p>
    <w:p w:rsidR="00936FB2" w:rsidRDefault="00C83FCC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estudante de Doutorado que não for aprovado no segundo Exame de Qualificação, que deverá acontecer no prazo máximo de 30 meses, será excluído do curso. Casos </w:t>
      </w:r>
      <w:r>
        <w:rPr>
          <w:sz w:val="22"/>
          <w:szCs w:val="22"/>
        </w:rPr>
        <w:t>excepcionais serão avaliados pelo Colegiado.</w:t>
      </w:r>
    </w:p>
    <w:p w:rsidR="00936FB2" w:rsidRDefault="00936FB2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bookmarkStart w:id="13" w:name="diploma"/>
      <w:bookmarkEnd w:id="13"/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smallCaps/>
          <w:color w:val="000000" w:themeColor="text1"/>
          <w:szCs w:val="22"/>
        </w:rPr>
      </w:pPr>
      <w:r>
        <w:rPr>
          <w:rFonts w:ascii="Times New Roman" w:hAnsi="Times New Roman"/>
          <w:i w:val="0"/>
          <w:iCs/>
          <w:smallCaps/>
          <w:color w:val="000000" w:themeColor="text1"/>
          <w:szCs w:val="22"/>
        </w:rPr>
        <w:t>Diploma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Após o cumprimento de todas as exigências regulamentares, o aluno deverá requerer a expedição de seu diploma. 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secretaria do curso abre o processo com a documentação prevista nas NGPG e, em seguida, o</w:t>
      </w:r>
      <w:r>
        <w:rPr>
          <w:color w:val="000000" w:themeColor="text1"/>
          <w:sz w:val="22"/>
          <w:szCs w:val="22"/>
        </w:rPr>
        <w:t xml:space="preserve"> encaminha à </w:t>
      </w:r>
      <w:proofErr w:type="spellStart"/>
      <w:r>
        <w:rPr>
          <w:color w:val="000000" w:themeColor="text1"/>
          <w:sz w:val="22"/>
          <w:szCs w:val="22"/>
        </w:rPr>
        <w:t>Pró-Reitoria</w:t>
      </w:r>
      <w:proofErr w:type="spellEnd"/>
      <w:r>
        <w:rPr>
          <w:color w:val="000000" w:themeColor="text1"/>
          <w:sz w:val="22"/>
          <w:szCs w:val="22"/>
        </w:rPr>
        <w:t xml:space="preserve"> de Pós-Graduação. Finalizado o processo, os diplomas são enviados à secretaria do PPGPV, onde os interessados devem retirá-los.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diploma expedido pelo curso possui validade nacional.</w:t>
      </w:r>
    </w:p>
    <w:p w:rsidR="00936FB2" w:rsidRDefault="00936FB2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smallCaps/>
          <w:color w:val="000000" w:themeColor="text1"/>
          <w:szCs w:val="22"/>
        </w:rPr>
      </w:pPr>
      <w:r>
        <w:rPr>
          <w:rFonts w:ascii="Times New Roman" w:hAnsi="Times New Roman"/>
          <w:i w:val="0"/>
          <w:iCs/>
          <w:smallCaps/>
          <w:color w:val="000000" w:themeColor="text1"/>
          <w:szCs w:val="22"/>
        </w:rPr>
        <w:t>Graus Acadêmicos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grau de Mestre será conced</w:t>
      </w:r>
      <w:r>
        <w:rPr>
          <w:color w:val="000000" w:themeColor="text1"/>
          <w:sz w:val="22"/>
          <w:szCs w:val="22"/>
        </w:rPr>
        <w:t>ido ao acadêmico que, no prazo mínimo de um ano e máximo de dois anos, completar o número mínimo de créditos exigidos e for aprovado na defesa da dissertação.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grau de Doutor será concedido ao acadêmico que, no prazo mínimo de dois anos e máximo de quatro</w:t>
      </w:r>
      <w:r>
        <w:rPr>
          <w:color w:val="000000" w:themeColor="text1"/>
          <w:sz w:val="22"/>
          <w:szCs w:val="22"/>
        </w:rPr>
        <w:t xml:space="preserve"> anos, completar o número mínimo de créditos e for aprovado no Exame de Qualificação e na defesa de tese.</w:t>
      </w:r>
    </w:p>
    <w:p w:rsidR="00936FB2" w:rsidRDefault="00936FB2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bookmarkStart w:id="14" w:name="seqint"/>
      <w:bookmarkEnd w:id="14"/>
    </w:p>
    <w:p w:rsidR="00936FB2" w:rsidRDefault="00C83FCC">
      <w:pPr>
        <w:pStyle w:val="Ttulo2"/>
        <w:shd w:val="clear" w:color="auto" w:fill="FFFFFF"/>
        <w:spacing w:before="120" w:after="120" w:line="360" w:lineRule="auto"/>
        <w:textAlignment w:val="baseline"/>
        <w:rPr>
          <w:rFonts w:ascii="Times New Roman" w:hAnsi="Times New Roman"/>
          <w:iCs/>
          <w:smallCaps/>
          <w:color w:val="000000" w:themeColor="text1"/>
          <w:szCs w:val="22"/>
        </w:rPr>
      </w:pPr>
      <w:r>
        <w:rPr>
          <w:rFonts w:ascii="Times New Roman" w:hAnsi="Times New Roman"/>
          <w:i w:val="0"/>
          <w:iCs/>
          <w:smallCaps/>
          <w:color w:val="000000" w:themeColor="text1"/>
          <w:szCs w:val="22"/>
        </w:rPr>
        <w:t>Sugestão de Sequências de Integralização</w:t>
      </w:r>
    </w:p>
    <w:p w:rsidR="00936FB2" w:rsidRDefault="00C83FC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Nos quadros abaixo são apresentadas as sequências de integralização para os cursos de Mestrado e Doutorado.</w:t>
      </w:r>
    </w:p>
    <w:p w:rsidR="00936FB2" w:rsidRDefault="00936FB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936FB2" w:rsidRDefault="00C83FCC">
      <w:pPr>
        <w:pStyle w:val="Ttulo3"/>
        <w:shd w:val="clear" w:color="auto" w:fill="FFFFFF"/>
        <w:spacing w:before="0" w:after="0"/>
        <w:textAlignment w:val="baseline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MESTRADO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622"/>
        <w:gridCol w:w="1849"/>
        <w:gridCol w:w="2260"/>
        <w:gridCol w:w="2260"/>
      </w:tblGrid>
      <w:tr w:rsidR="00936FB2">
        <w:trPr>
          <w:tblHeader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</w:tcPr>
          <w:p w:rsidR="00936FB2" w:rsidRDefault="00C83FCC">
            <w:pPr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</w:tcPr>
          <w:p w:rsidR="00936FB2" w:rsidRDefault="00C83FCC">
            <w:pPr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SEMESTRE 1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</w:tcPr>
          <w:p w:rsidR="00936FB2" w:rsidRDefault="00C83FCC">
            <w:pPr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SEMESTRE 2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</w:tcPr>
          <w:p w:rsidR="00936FB2" w:rsidRDefault="00C83FCC">
            <w:pPr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SEMESTRE 3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</w:tcPr>
          <w:p w:rsidR="00936FB2" w:rsidRDefault="00C83FCC">
            <w:pPr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SEMESTRE 4</w:t>
            </w:r>
          </w:p>
        </w:tc>
      </w:tr>
      <w:tr w:rsidR="00936FB2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36FB2" w:rsidRDefault="00C83F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Style w:val="Forte"/>
                <w:color w:val="000000" w:themeColor="text1"/>
                <w:sz w:val="18"/>
                <w:szCs w:val="18"/>
              </w:rPr>
              <w:t>Sequência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Integralização de créditos;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Elaboração do Plano de Estudo;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Elaboração de projeto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Integralização de créditos;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Desenvolvimento de dissertação.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Desenvolvimento/defesa dissertação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Desenvolvimento/defesa dissertação</w:t>
            </w:r>
          </w:p>
        </w:tc>
      </w:tr>
      <w:tr w:rsidR="00936FB2"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rStyle w:val="Forte"/>
                <w:color w:val="000000" w:themeColor="text1"/>
                <w:sz w:val="18"/>
                <w:szCs w:val="18"/>
              </w:rPr>
              <w:t>Matrícula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Disciplina obrigatória e optativas.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Seminário I</w:t>
            </w:r>
            <w:r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Disciplinas obrigatórias e optativas.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Pesquisa I;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Estágio docência;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Seminário II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Seminário II</w:t>
            </w:r>
          </w:p>
          <w:p w:rsidR="00936FB2" w:rsidRDefault="00936FB2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36FB2" w:rsidRDefault="00936FB2">
      <w:pPr>
        <w:pStyle w:val="Ttulo3"/>
        <w:shd w:val="clear" w:color="auto" w:fill="FFFFFF"/>
        <w:spacing w:before="0" w:after="0"/>
        <w:textAlignment w:val="baseline"/>
        <w:rPr>
          <w:i/>
          <w:iCs/>
          <w:color w:val="000000" w:themeColor="text1"/>
          <w:sz w:val="22"/>
          <w:szCs w:val="22"/>
        </w:rPr>
      </w:pPr>
    </w:p>
    <w:p w:rsidR="00936FB2" w:rsidRDefault="00936FB2"/>
    <w:p w:rsidR="00936FB2" w:rsidRDefault="00936FB2"/>
    <w:p w:rsidR="00936FB2" w:rsidRDefault="00936FB2"/>
    <w:p w:rsidR="00936FB2" w:rsidRDefault="00936FB2"/>
    <w:p w:rsidR="00936FB2" w:rsidRDefault="00936FB2"/>
    <w:p w:rsidR="00936FB2" w:rsidRDefault="00C83FCC">
      <w:pPr>
        <w:pStyle w:val="Ttulo3"/>
        <w:shd w:val="clear" w:color="auto" w:fill="FFFFFF"/>
        <w:spacing w:before="0" w:after="0"/>
        <w:textAlignment w:val="baseline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36FB2">
        <w:tc>
          <w:tcPr>
            <w:tcW w:w="1842" w:type="dxa"/>
          </w:tcPr>
          <w:p w:rsidR="00936FB2" w:rsidRDefault="00C83F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Style w:val="Forte"/>
                <w:color w:val="000000" w:themeColor="text1"/>
                <w:sz w:val="18"/>
                <w:szCs w:val="18"/>
              </w:rPr>
              <w:t>Sequência</w:t>
            </w:r>
          </w:p>
        </w:tc>
        <w:tc>
          <w:tcPr>
            <w:tcW w:w="1842" w:type="dxa"/>
            <w:vAlign w:val="bottom"/>
          </w:tcPr>
          <w:p w:rsidR="00936FB2" w:rsidRDefault="00C83FCC">
            <w:pPr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SEMESTRE 1</w:t>
            </w:r>
          </w:p>
        </w:tc>
        <w:tc>
          <w:tcPr>
            <w:tcW w:w="1842" w:type="dxa"/>
            <w:vAlign w:val="bottom"/>
          </w:tcPr>
          <w:p w:rsidR="00936FB2" w:rsidRDefault="00C83FCC">
            <w:pPr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SEMESTRE 2</w:t>
            </w:r>
          </w:p>
        </w:tc>
        <w:tc>
          <w:tcPr>
            <w:tcW w:w="1843" w:type="dxa"/>
            <w:vAlign w:val="bottom"/>
          </w:tcPr>
          <w:p w:rsidR="00936FB2" w:rsidRDefault="00C83FCC">
            <w:pPr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SEMESTRE 3</w:t>
            </w:r>
          </w:p>
        </w:tc>
        <w:tc>
          <w:tcPr>
            <w:tcW w:w="1843" w:type="dxa"/>
            <w:vAlign w:val="bottom"/>
          </w:tcPr>
          <w:p w:rsidR="00936FB2" w:rsidRDefault="00C83FCC">
            <w:pPr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SEMESTRE 4</w:t>
            </w:r>
          </w:p>
        </w:tc>
      </w:tr>
      <w:tr w:rsidR="00936FB2">
        <w:tc>
          <w:tcPr>
            <w:tcW w:w="1842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rStyle w:val="Forte"/>
                <w:color w:val="000000" w:themeColor="text1"/>
                <w:sz w:val="18"/>
                <w:szCs w:val="18"/>
              </w:rPr>
              <w:t>Matrícula</w:t>
            </w:r>
          </w:p>
        </w:tc>
        <w:tc>
          <w:tcPr>
            <w:tcW w:w="1842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Integralização de créditos;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Elaboração do Plano de Estudo;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Elaboração de projeto</w:t>
            </w:r>
          </w:p>
        </w:tc>
        <w:tc>
          <w:tcPr>
            <w:tcW w:w="1842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Integralização de créditos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Desenvolvimento de tese</w:t>
            </w:r>
          </w:p>
        </w:tc>
        <w:tc>
          <w:tcPr>
            <w:tcW w:w="1843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Integralização de créditos</w:t>
            </w:r>
            <w:r>
              <w:rPr>
                <w:color w:val="000000" w:themeColor="text1"/>
                <w:sz w:val="18"/>
                <w:szCs w:val="18"/>
              </w:rPr>
              <w:br/>
              <w:t>Desenvolvimento de tese</w:t>
            </w:r>
          </w:p>
        </w:tc>
        <w:tc>
          <w:tcPr>
            <w:tcW w:w="1843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Integralização de créditos</w:t>
            </w:r>
            <w:r>
              <w:rPr>
                <w:color w:val="000000" w:themeColor="text1"/>
                <w:sz w:val="18"/>
                <w:szCs w:val="18"/>
              </w:rPr>
              <w:br/>
              <w:t>Desenvolvimento de tese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Estágio docência</w:t>
            </w:r>
            <w:r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936FB2">
        <w:tc>
          <w:tcPr>
            <w:tcW w:w="1842" w:type="dxa"/>
          </w:tcPr>
          <w:p w:rsidR="00936FB2" w:rsidRDefault="00936FB2"/>
        </w:tc>
        <w:tc>
          <w:tcPr>
            <w:tcW w:w="1842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Disciplina obrigatória e optativas.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Seminário I</w:t>
            </w:r>
          </w:p>
        </w:tc>
        <w:tc>
          <w:tcPr>
            <w:tcW w:w="1842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Disciplinas obrigatórias e optativas.</w:t>
            </w:r>
          </w:p>
        </w:tc>
        <w:tc>
          <w:tcPr>
            <w:tcW w:w="1843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Disciplinas obrigatórias e optativas.</w:t>
            </w:r>
          </w:p>
        </w:tc>
        <w:tc>
          <w:tcPr>
            <w:tcW w:w="1843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Disciplinas obrigatórias e optativas.</w:t>
            </w:r>
          </w:p>
        </w:tc>
      </w:tr>
      <w:tr w:rsidR="00936FB2">
        <w:tc>
          <w:tcPr>
            <w:tcW w:w="1842" w:type="dxa"/>
          </w:tcPr>
          <w:p w:rsidR="00936FB2" w:rsidRDefault="00C83F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Style w:val="Forte"/>
                <w:color w:val="000000" w:themeColor="text1"/>
                <w:sz w:val="18"/>
                <w:szCs w:val="18"/>
              </w:rPr>
              <w:t>Sequência</w:t>
            </w:r>
          </w:p>
        </w:tc>
        <w:tc>
          <w:tcPr>
            <w:tcW w:w="1842" w:type="dxa"/>
            <w:vAlign w:val="bottom"/>
          </w:tcPr>
          <w:p w:rsidR="00936FB2" w:rsidRDefault="00C83FCC">
            <w:pPr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SEMESTRE 5</w:t>
            </w:r>
          </w:p>
        </w:tc>
        <w:tc>
          <w:tcPr>
            <w:tcW w:w="1842" w:type="dxa"/>
            <w:vAlign w:val="bottom"/>
          </w:tcPr>
          <w:p w:rsidR="00936FB2" w:rsidRDefault="00C83FCC">
            <w:pPr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SEMESTRE 6</w:t>
            </w:r>
          </w:p>
        </w:tc>
        <w:tc>
          <w:tcPr>
            <w:tcW w:w="1843" w:type="dxa"/>
          </w:tcPr>
          <w:p w:rsidR="00936FB2" w:rsidRDefault="00C83FCC">
            <w:r>
              <w:rPr>
                <w:b/>
                <w:bCs/>
                <w:color w:val="000000" w:themeColor="text1"/>
                <w:sz w:val="18"/>
                <w:szCs w:val="18"/>
              </w:rPr>
              <w:t>SEMESTRE 7</w:t>
            </w:r>
          </w:p>
        </w:tc>
        <w:tc>
          <w:tcPr>
            <w:tcW w:w="1843" w:type="dxa"/>
          </w:tcPr>
          <w:p w:rsidR="00936FB2" w:rsidRDefault="00C83FCC">
            <w:r>
              <w:rPr>
                <w:b/>
                <w:bCs/>
                <w:color w:val="000000" w:themeColor="text1"/>
                <w:sz w:val="18"/>
                <w:szCs w:val="18"/>
              </w:rPr>
              <w:t>SEMESTRE 8</w:t>
            </w:r>
          </w:p>
        </w:tc>
      </w:tr>
      <w:tr w:rsidR="00936FB2">
        <w:tc>
          <w:tcPr>
            <w:tcW w:w="1842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rStyle w:val="Forte"/>
                <w:color w:val="000000" w:themeColor="text1"/>
                <w:sz w:val="18"/>
                <w:szCs w:val="18"/>
              </w:rPr>
              <w:t>Matrícula</w:t>
            </w:r>
          </w:p>
        </w:tc>
        <w:tc>
          <w:tcPr>
            <w:tcW w:w="1842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Desenvolvimento de tese</w:t>
            </w:r>
          </w:p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Exame de qualificação</w:t>
            </w:r>
          </w:p>
        </w:tc>
        <w:tc>
          <w:tcPr>
            <w:tcW w:w="1842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Desenvolvimento de tese/Defesa de tese</w:t>
            </w:r>
            <w:r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:rsidR="00936FB2" w:rsidRDefault="00C83FCC">
            <w:r>
              <w:rPr>
                <w:color w:val="000000" w:themeColor="text1"/>
                <w:sz w:val="18"/>
                <w:szCs w:val="18"/>
              </w:rPr>
              <w:t>Desenvolvimento de tese/Defesa de tese</w:t>
            </w:r>
          </w:p>
        </w:tc>
        <w:tc>
          <w:tcPr>
            <w:tcW w:w="1843" w:type="dxa"/>
          </w:tcPr>
          <w:p w:rsidR="00936FB2" w:rsidRDefault="00C83FCC">
            <w:r>
              <w:rPr>
                <w:color w:val="000000" w:themeColor="text1"/>
                <w:sz w:val="18"/>
                <w:szCs w:val="18"/>
              </w:rPr>
              <w:t>Desenvolvimento de tese/Defesa de tese</w:t>
            </w:r>
          </w:p>
        </w:tc>
      </w:tr>
      <w:tr w:rsidR="00936FB2">
        <w:tc>
          <w:tcPr>
            <w:tcW w:w="1842" w:type="dxa"/>
          </w:tcPr>
          <w:p w:rsidR="00936FB2" w:rsidRDefault="00936FB2"/>
        </w:tc>
        <w:tc>
          <w:tcPr>
            <w:tcW w:w="1842" w:type="dxa"/>
          </w:tcPr>
          <w:p w:rsidR="00936FB2" w:rsidRDefault="00C83FC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Pesquisa I;</w:t>
            </w:r>
          </w:p>
          <w:p w:rsidR="00936FB2" w:rsidRDefault="00936FB2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936FB2" w:rsidRDefault="00C83F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Pesquisa II;</w:t>
            </w:r>
          </w:p>
          <w:p w:rsidR="00936FB2" w:rsidRDefault="00C83F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Estágio docência;</w:t>
            </w:r>
          </w:p>
          <w:p w:rsidR="00936FB2" w:rsidRDefault="00C83F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Seminário II</w:t>
            </w:r>
          </w:p>
          <w:p w:rsidR="00936FB2" w:rsidRDefault="00936FB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6FB2" w:rsidRDefault="00C83F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Estágio docência;</w:t>
            </w:r>
          </w:p>
          <w:p w:rsidR="00936FB2" w:rsidRDefault="00C83F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Seminário II</w:t>
            </w:r>
          </w:p>
          <w:p w:rsidR="00936FB2" w:rsidRDefault="00936FB2"/>
        </w:tc>
        <w:tc>
          <w:tcPr>
            <w:tcW w:w="1843" w:type="dxa"/>
          </w:tcPr>
          <w:p w:rsidR="00936FB2" w:rsidRDefault="00C83F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Seminário II</w:t>
            </w:r>
          </w:p>
          <w:p w:rsidR="00936FB2" w:rsidRDefault="00936FB2"/>
        </w:tc>
      </w:tr>
    </w:tbl>
    <w:p w:rsidR="00936FB2" w:rsidRDefault="00936FB2"/>
    <w:p w:rsidR="00936FB2" w:rsidRDefault="00936FB2">
      <w:pPr>
        <w:rPr>
          <w:color w:val="000000" w:themeColor="text1"/>
          <w:sz w:val="22"/>
          <w:szCs w:val="22"/>
        </w:rPr>
      </w:pPr>
    </w:p>
    <w:p w:rsidR="00936FB2" w:rsidRDefault="00936FB2">
      <w:pPr>
        <w:rPr>
          <w:color w:val="000000" w:themeColor="text1"/>
          <w:sz w:val="22"/>
          <w:szCs w:val="22"/>
        </w:rPr>
      </w:pPr>
    </w:p>
    <w:sectPr w:rsidR="00936FB2">
      <w:headerReference w:type="default" r:id="rId8"/>
      <w:footerReference w:type="default" r:id="rId9"/>
      <w:type w:val="continuous"/>
      <w:pgSz w:w="11907" w:h="16840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CC" w:rsidRDefault="00C83FCC">
      <w:r>
        <w:separator/>
      </w:r>
    </w:p>
  </w:endnote>
  <w:endnote w:type="continuationSeparator" w:id="0">
    <w:p w:rsidR="00C83FCC" w:rsidRDefault="00C8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B2" w:rsidRDefault="00C83FCC">
    <w:pPr>
      <w:pStyle w:val="Rodap"/>
      <w:spacing w:before="200"/>
      <w:ind w:left="-1701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7553325" cy="847725"/>
          <wp:effectExtent l="0" t="0" r="9525" b="9525"/>
          <wp:docPr id="2" name="Imagem 2" descr="timbrado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imbrado_wor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CC" w:rsidRDefault="00C83FCC">
      <w:r>
        <w:separator/>
      </w:r>
    </w:p>
  </w:footnote>
  <w:footnote w:type="continuationSeparator" w:id="0">
    <w:p w:rsidR="00C83FCC" w:rsidRDefault="00C8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B2" w:rsidRDefault="00C83FCC">
    <w:pPr>
      <w:pStyle w:val="Cabealho"/>
      <w:ind w:hanging="1701"/>
    </w:pPr>
    <w:r>
      <w:rPr>
        <w:noProof/>
      </w:rPr>
      <w:drawing>
        <wp:inline distT="0" distB="0" distL="0" distR="0">
          <wp:extent cx="7553325" cy="971550"/>
          <wp:effectExtent l="0" t="0" r="9525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528"/>
    <w:multiLevelType w:val="multilevel"/>
    <w:tmpl w:val="015F3528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1752"/>
    <w:multiLevelType w:val="multilevel"/>
    <w:tmpl w:val="2BB91752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3529"/>
    <w:multiLevelType w:val="multilevel"/>
    <w:tmpl w:val="63213529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04CC1"/>
    <w:multiLevelType w:val="singleLevel"/>
    <w:tmpl w:val="76604CC1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3B"/>
    <w:rsid w:val="00006071"/>
    <w:rsid w:val="0002169D"/>
    <w:rsid w:val="000352DB"/>
    <w:rsid w:val="00044B54"/>
    <w:rsid w:val="00045116"/>
    <w:rsid w:val="00046699"/>
    <w:rsid w:val="00051AE9"/>
    <w:rsid w:val="000556D6"/>
    <w:rsid w:val="00065660"/>
    <w:rsid w:val="00065A91"/>
    <w:rsid w:val="00077EFA"/>
    <w:rsid w:val="000861A3"/>
    <w:rsid w:val="0009023D"/>
    <w:rsid w:val="00093166"/>
    <w:rsid w:val="000D3EE3"/>
    <w:rsid w:val="000D7EBF"/>
    <w:rsid w:val="001041BC"/>
    <w:rsid w:val="001052FD"/>
    <w:rsid w:val="001142F6"/>
    <w:rsid w:val="00135AF9"/>
    <w:rsid w:val="00141792"/>
    <w:rsid w:val="00160E36"/>
    <w:rsid w:val="00162C99"/>
    <w:rsid w:val="00166D79"/>
    <w:rsid w:val="001D4A32"/>
    <w:rsid w:val="001E5F7E"/>
    <w:rsid w:val="001F17D2"/>
    <w:rsid w:val="001F3E82"/>
    <w:rsid w:val="002044A9"/>
    <w:rsid w:val="00211761"/>
    <w:rsid w:val="0022167C"/>
    <w:rsid w:val="00232FF2"/>
    <w:rsid w:val="0025669C"/>
    <w:rsid w:val="00267C40"/>
    <w:rsid w:val="002921D0"/>
    <w:rsid w:val="002A2B8E"/>
    <w:rsid w:val="002A4C9D"/>
    <w:rsid w:val="002B5443"/>
    <w:rsid w:val="002C4057"/>
    <w:rsid w:val="002D2C01"/>
    <w:rsid w:val="002D3E2B"/>
    <w:rsid w:val="003014E5"/>
    <w:rsid w:val="00352AA7"/>
    <w:rsid w:val="00356B1D"/>
    <w:rsid w:val="00385E59"/>
    <w:rsid w:val="00395D77"/>
    <w:rsid w:val="003A0592"/>
    <w:rsid w:val="003D1AEF"/>
    <w:rsid w:val="003F0011"/>
    <w:rsid w:val="00402EC2"/>
    <w:rsid w:val="00404B54"/>
    <w:rsid w:val="00435847"/>
    <w:rsid w:val="00462D50"/>
    <w:rsid w:val="0046365C"/>
    <w:rsid w:val="004868FA"/>
    <w:rsid w:val="00497A2F"/>
    <w:rsid w:val="004A19DF"/>
    <w:rsid w:val="004C5C02"/>
    <w:rsid w:val="004D45C5"/>
    <w:rsid w:val="004E5EDB"/>
    <w:rsid w:val="004E753E"/>
    <w:rsid w:val="004F0DFA"/>
    <w:rsid w:val="004F7185"/>
    <w:rsid w:val="00506C55"/>
    <w:rsid w:val="00507E6D"/>
    <w:rsid w:val="00527702"/>
    <w:rsid w:val="00543576"/>
    <w:rsid w:val="005668BB"/>
    <w:rsid w:val="00585B92"/>
    <w:rsid w:val="005D409B"/>
    <w:rsid w:val="005D61D7"/>
    <w:rsid w:val="005E21D6"/>
    <w:rsid w:val="005E4723"/>
    <w:rsid w:val="0062548E"/>
    <w:rsid w:val="00627F16"/>
    <w:rsid w:val="00646372"/>
    <w:rsid w:val="00666E41"/>
    <w:rsid w:val="006674B5"/>
    <w:rsid w:val="00690F2F"/>
    <w:rsid w:val="006917F2"/>
    <w:rsid w:val="00696E15"/>
    <w:rsid w:val="006A202B"/>
    <w:rsid w:val="006C4D6D"/>
    <w:rsid w:val="006F1E3C"/>
    <w:rsid w:val="007066D4"/>
    <w:rsid w:val="00743326"/>
    <w:rsid w:val="00750DA9"/>
    <w:rsid w:val="00751370"/>
    <w:rsid w:val="007A368F"/>
    <w:rsid w:val="007D56C5"/>
    <w:rsid w:val="007E2870"/>
    <w:rsid w:val="007F66BB"/>
    <w:rsid w:val="00822880"/>
    <w:rsid w:val="00825DB6"/>
    <w:rsid w:val="00846D64"/>
    <w:rsid w:val="00852C14"/>
    <w:rsid w:val="00860BA5"/>
    <w:rsid w:val="00860F85"/>
    <w:rsid w:val="008614A0"/>
    <w:rsid w:val="0087019F"/>
    <w:rsid w:val="00876909"/>
    <w:rsid w:val="008B3A0E"/>
    <w:rsid w:val="008B4E18"/>
    <w:rsid w:val="008C1BF7"/>
    <w:rsid w:val="008D59B9"/>
    <w:rsid w:val="008E68E4"/>
    <w:rsid w:val="008F6077"/>
    <w:rsid w:val="00920F06"/>
    <w:rsid w:val="00936FB2"/>
    <w:rsid w:val="00940F3C"/>
    <w:rsid w:val="0096184D"/>
    <w:rsid w:val="00995AE5"/>
    <w:rsid w:val="009C763B"/>
    <w:rsid w:val="009D2EBB"/>
    <w:rsid w:val="009D5158"/>
    <w:rsid w:val="009D61D1"/>
    <w:rsid w:val="009E0121"/>
    <w:rsid w:val="009F0216"/>
    <w:rsid w:val="009F3AD1"/>
    <w:rsid w:val="00A30D3D"/>
    <w:rsid w:val="00A61AAF"/>
    <w:rsid w:val="00A7421B"/>
    <w:rsid w:val="00A77925"/>
    <w:rsid w:val="00A9563C"/>
    <w:rsid w:val="00AA62B2"/>
    <w:rsid w:val="00AA6955"/>
    <w:rsid w:val="00AB061F"/>
    <w:rsid w:val="00AC4613"/>
    <w:rsid w:val="00AC4E19"/>
    <w:rsid w:val="00AE70D3"/>
    <w:rsid w:val="00AF2A36"/>
    <w:rsid w:val="00AF4E53"/>
    <w:rsid w:val="00B335A1"/>
    <w:rsid w:val="00B4558F"/>
    <w:rsid w:val="00B51714"/>
    <w:rsid w:val="00B56456"/>
    <w:rsid w:val="00B67056"/>
    <w:rsid w:val="00BA7F7B"/>
    <w:rsid w:val="00BC2178"/>
    <w:rsid w:val="00BC24DF"/>
    <w:rsid w:val="00BE4A6D"/>
    <w:rsid w:val="00BE655B"/>
    <w:rsid w:val="00C15A69"/>
    <w:rsid w:val="00C35132"/>
    <w:rsid w:val="00C52921"/>
    <w:rsid w:val="00C60DD5"/>
    <w:rsid w:val="00C7473D"/>
    <w:rsid w:val="00C80F15"/>
    <w:rsid w:val="00C83FCC"/>
    <w:rsid w:val="00C86F84"/>
    <w:rsid w:val="00CA50EA"/>
    <w:rsid w:val="00D0241C"/>
    <w:rsid w:val="00D03267"/>
    <w:rsid w:val="00D14266"/>
    <w:rsid w:val="00D26B7C"/>
    <w:rsid w:val="00D4021F"/>
    <w:rsid w:val="00D4247E"/>
    <w:rsid w:val="00D53779"/>
    <w:rsid w:val="00D66605"/>
    <w:rsid w:val="00D71343"/>
    <w:rsid w:val="00D810FF"/>
    <w:rsid w:val="00D85428"/>
    <w:rsid w:val="00D920DF"/>
    <w:rsid w:val="00DC7D66"/>
    <w:rsid w:val="00DD5ABC"/>
    <w:rsid w:val="00E1167B"/>
    <w:rsid w:val="00E15E08"/>
    <w:rsid w:val="00E23B79"/>
    <w:rsid w:val="00E278BF"/>
    <w:rsid w:val="00E34DDD"/>
    <w:rsid w:val="00E40C9A"/>
    <w:rsid w:val="00E47C7E"/>
    <w:rsid w:val="00E70130"/>
    <w:rsid w:val="00E728BE"/>
    <w:rsid w:val="00E87F99"/>
    <w:rsid w:val="00EA5927"/>
    <w:rsid w:val="00EE20B0"/>
    <w:rsid w:val="00EF0C76"/>
    <w:rsid w:val="00F03021"/>
    <w:rsid w:val="00F0354A"/>
    <w:rsid w:val="00F51D87"/>
    <w:rsid w:val="00F534E0"/>
    <w:rsid w:val="00F732FC"/>
    <w:rsid w:val="00F87E0C"/>
    <w:rsid w:val="00FA131A"/>
    <w:rsid w:val="00FA3747"/>
    <w:rsid w:val="00FA5356"/>
    <w:rsid w:val="00FB797A"/>
    <w:rsid w:val="00FC38AB"/>
    <w:rsid w:val="00FD3A5C"/>
    <w:rsid w:val="00FE7C96"/>
    <w:rsid w:val="02962B81"/>
    <w:rsid w:val="043615E1"/>
    <w:rsid w:val="140B7EE3"/>
    <w:rsid w:val="273B0FBC"/>
    <w:rsid w:val="2A2960FD"/>
    <w:rsid w:val="321533A0"/>
    <w:rsid w:val="34EC079D"/>
    <w:rsid w:val="4665755B"/>
    <w:rsid w:val="7A6A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7A0418-4B26-448E-8D65-C488553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locked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locked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1"/>
    <w:uiPriority w:val="99"/>
    <w:semiHidden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2"/>
    <w:uiPriority w:val="99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1"/>
    <w:uiPriority w:val="99"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1"/>
    <w:uiPriority w:val="99"/>
    <w:semiHidden/>
    <w:qFormat/>
    <w:pPr>
      <w:ind w:left="708"/>
      <w:jc w:val="both"/>
    </w:pPr>
  </w:style>
  <w:style w:type="table" w:styleId="Tabelacomgrade">
    <w:name w:val="Table Grid"/>
    <w:basedOn w:val="Tabelanormal"/>
    <w:qFormat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1">
    <w:name w:val="Título 1 Char1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qFormat/>
    <w:rPr>
      <w:rFonts w:ascii="Cambria" w:hAnsi="Cambria" w:cs="Times New Roman"/>
      <w:b/>
      <w:bCs/>
      <w:sz w:val="26"/>
      <w:szCs w:val="26"/>
    </w:rPr>
  </w:style>
  <w:style w:type="character" w:customStyle="1" w:styleId="CabealhoChar1">
    <w:name w:val="Cabeçalho Char1"/>
    <w:link w:val="Cabealho"/>
    <w:uiPriority w:val="99"/>
    <w:semiHidden/>
    <w:locked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qFormat/>
    <w:rPr>
      <w:rFonts w:cs="Times New Roman"/>
      <w:sz w:val="24"/>
      <w:szCs w:val="24"/>
    </w:rPr>
  </w:style>
  <w:style w:type="character" w:customStyle="1" w:styleId="RodapChar2">
    <w:name w:val="Rodapé Char2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Pr>
      <w:rFonts w:cs="Times New Roman"/>
      <w:sz w:val="24"/>
      <w:szCs w:val="24"/>
    </w:rPr>
  </w:style>
  <w:style w:type="character" w:customStyle="1" w:styleId="RodapChar">
    <w:name w:val="Rodapé Char"/>
    <w:uiPriority w:val="99"/>
    <w:rPr>
      <w:rFonts w:cs="Times New Roman"/>
      <w:sz w:val="24"/>
    </w:rPr>
  </w:style>
  <w:style w:type="character" w:customStyle="1" w:styleId="RecuodecorpodetextoChar1">
    <w:name w:val="Recuo de corpo de texto Char1"/>
    <w:link w:val="Recuodecorpodetexto"/>
    <w:uiPriority w:val="99"/>
    <w:semiHidden/>
    <w:locked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Pr>
      <w:rFonts w:cs="Times New Roman"/>
      <w:sz w:val="24"/>
      <w:szCs w:val="24"/>
    </w:rPr>
  </w:style>
  <w:style w:type="character" w:customStyle="1" w:styleId="texto">
    <w:name w:val="texto"/>
    <w:uiPriority w:val="99"/>
    <w:rPr>
      <w:rFonts w:cs="Times New Roman"/>
    </w:rPr>
  </w:style>
  <w:style w:type="character" w:customStyle="1" w:styleId="TextodebaloChar1">
    <w:name w:val="Texto de balão Char1"/>
    <w:link w:val="Textodebalo"/>
    <w:uiPriority w:val="99"/>
    <w:semiHidden/>
    <w:locked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qFormat/>
    <w:pPr>
      <w:spacing w:before="100" w:beforeAutospacing="1" w:after="119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qFormat/>
  </w:style>
  <w:style w:type="paragraph" w:customStyle="1" w:styleId="Partesuperior-zdoformulrio1">
    <w:name w:val="Parte superior-z do formulário1"/>
    <w:basedOn w:val="Normal"/>
    <w:next w:val="Normal"/>
    <w:link w:val="Partesuperior-zdoformulrioChar"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Parteinferiordoformulrio1">
    <w:name w:val="Parte inferior do formulário1"/>
    <w:basedOn w:val="Normal"/>
    <w:next w:val="Normal"/>
    <w:link w:val="ParteinferiordoformulrioChar"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Helvetica-Bold" w:eastAsia="Helvetica-Bold" w:hAnsi="Helvetica-Bold" w:cs="Helvetica-Bold"/>
      <w:b/>
      <w:bCs/>
      <w:color w:val="000000"/>
      <w:sz w:val="24"/>
      <w:szCs w:val="24"/>
    </w:rPr>
  </w:style>
  <w:style w:type="character" w:customStyle="1" w:styleId="fontstyle21">
    <w:name w:val="fontstyle21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fontstyle31">
    <w:name w:val="fontstyle31"/>
    <w:rPr>
      <w:rFonts w:ascii="Helvetica-Oblique" w:eastAsia="Helvetica-Oblique" w:hAnsi="Helvetica-Oblique" w:cs="Helvetica-Oblique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</TotalTime>
  <Pages>9</Pages>
  <Words>2341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PC</cp:lastModifiedBy>
  <cp:revision>2</cp:revision>
  <cp:lastPrinted>2015-08-31T18:50:00Z</cp:lastPrinted>
  <dcterms:created xsi:type="dcterms:W3CDTF">2021-05-26T12:48:00Z</dcterms:created>
  <dcterms:modified xsi:type="dcterms:W3CDTF">2021-05-26T12:48:00Z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